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b w:val="1"/>
          <w:bCs w:val="1"/>
          <w:color w:val="17365d"/>
          <w:sz w:val="46"/>
          <w:szCs w:val="46"/>
          <w:rtl w:val="0"/>
        </w:rPr>
        <w:br w:type="textWrapping"/>
        <w:br w:type="textWrapping"/>
        <w:t xml:space="preserve">PROGRAMACIÓN DIDÁCTICA</w:t>
        <w:br w:type="textWrapping"/>
      </w: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INICIACIÓN A LAS CIENCIAS DE LA SALUD</w:t>
        <w:br w:type="textWrapping"/>
      </w:r>
      <w:r w:rsidDel="00000000" w:rsidR="00000000" w:rsidRPr="00000000">
        <w:rPr>
          <w:sz w:val="26"/>
          <w:szCs w:val="26"/>
          <w:rtl w:val="0"/>
        </w:rPr>
        <w:t xml:space="preserve">EDUCACIÓN SECUNDARIA OBLIGATORIA · 2.º ESO</w:t>
        <w:br w:type="textWrapping"/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CURSO 2026/2027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Departamento de Biología y Geología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  <w:t xml:space="preserve">I.E.S. Santísima Trinidad · Baeza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rPr/>
      </w:pPr>
      <w:r w:rsidDel="00000000" w:rsidR="00000000" w:rsidRPr="00000000">
        <w:rPr>
          <w:rtl w:val="0"/>
        </w:rPr>
        <w:t xml:space="preserve">ÍNDICE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ASPECTOS GENERALES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 Contextualización y relación con el Plan de centro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 Marco legal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Organización del Departamento de coordinación didáctica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Objetivos de la etapa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 Principios pedagógicos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 Evaluación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 Seguimiento de la Programación Didáctica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CONCRECIÓN ANUAL · 2.º ESO. Iniciación a las Ciencias de la Salud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 Evaluación inicial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 Principios pedagógicos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Aspectos metodológicos para la construcción de situaciones de aprendizaje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Materiales y recursos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 Evaluación: criterios de calificación y herramientas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 Temporalización y unidades de programación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 Actividades complementarias y extraescolares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 Atención a la diversidad y a las diferencias individuales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 Competencias clave y contribución de la materia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10. Contenidos / saberes de referencia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11. Relación orientativa entre contenidos y evaluación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Nota de elaboración: esta versión reorganiza la programación histórica de Iniciación a las Ciencias de la Salud (documento aportado, curso 2021/2022) con los epígrafes y la disposición general de la programación de referencia 2026/2027. Los datos específicos no presentes en los documentos se indican como pendientes de confirmación; la adaptación no sustituye la validación del departamento ni la revisión normativa antes de su aprobación.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rPr/>
      </w:pPr>
      <w:r w:rsidDel="00000000" w:rsidR="00000000" w:rsidRPr="00000000">
        <w:rPr>
          <w:rtl w:val="0"/>
        </w:rPr>
        <w:t xml:space="preserve">ASPECTOS GENERALES</w:t>
      </w:r>
    </w:p>
    <w:p w:rsidR="00000000" w:rsidDel="00000000" w:rsidP="00000000" w:rsidRDefault="00000000" w:rsidRPr="00000000" w14:paraId="0000001E">
      <w:pPr>
        <w:pStyle w:val="Heading2"/>
        <w:rPr/>
      </w:pPr>
      <w:r w:rsidDel="00000000" w:rsidR="00000000" w:rsidRPr="00000000">
        <w:rPr>
          <w:rtl w:val="0"/>
        </w:rPr>
        <w:t xml:space="preserve">1. Contextualización y relación con el Plan de centro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El I.E.S. Santísima Trinidad de Baeza es un centro histórico situado en el casco antiguo de la localidad. Cuenta con una trayectoria educativa vinculada a la antigua universidad y con instalaciones patrimoniales y espacios actualizados para el desarrollo de la actividad docente. Su oferta educativa incluye Educación Secundaria Obligatoria, Bachillerato, ciclos formativos y educación de personas adultas.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El contexto sociocultural del alumnado es heterogéneo. Conviven estudiantes procedentes de familias de clase media y media-alta con alumnado de zonas con mayores dificultades socioeconómicas. El centro desarrolla planes y programas relacionados, entre otros ámbitos, con el bilingüismo, las tecnologías de la información y la comunicación, la lectura y biblioteca, la convivencia, la coeducación, las actividades extraescolares y el acompañamiento educativo.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La materia optativa Iniciación a las Ciencias de la Salud se vincula con la educación para la salud, el pensamiento científico, el bienestar personal y colectivo y el análisis crítico de los factores sociales, culturales y ambientales que influyen en la salud. Contribuye a conectar los aprendizajes científicos con situaciones de la vida cotidiana y con profesiones relacionadas con la salud.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La aplicación concreta de los planes de centro y de las actividades interdisciplinares se coordinará con el Proyecto Educativo y con los acuerdos vigentes del departamento.</w:t>
      </w:r>
    </w:p>
    <w:p w:rsidR="00000000" w:rsidDel="00000000" w:rsidP="00000000" w:rsidRDefault="00000000" w:rsidRPr="00000000" w14:paraId="00000023">
      <w:pPr>
        <w:pStyle w:val="Heading2"/>
        <w:rPr/>
      </w:pPr>
      <w:r w:rsidDel="00000000" w:rsidR="00000000" w:rsidRPr="00000000">
        <w:rPr>
          <w:rtl w:val="0"/>
        </w:rPr>
        <w:t xml:space="preserve">2. Marco legal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La programación de referencia de 2026/2027 recoge como marco general de la ESO en Andalucía las siguientes disposiciones. Su aplicabilidad concreta a esta materia optativa y a la oferta del curso deberá ser comprobada por el departamento antes de la aprobación definitiva.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Ley Orgánica 2/2006, de 3 de mayo, de Educación, modificada por la Ley Orgánica 3/2020, de 29 de diciembre.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Real Decreto 217/2022, de 29 de marzo, por el que se establece la ordenación y las enseñanzas mínimas de la Educación Secundaria Obligatoria.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Decreto 102/2023, de 9 de mayo, por el que se establece la ordenación y el currículo de la ESO en Andalucía.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Decreto 327/2010, de 13 de julio, por el que se aprueba el Reglamento Orgánico de los Institutos de Educación Secundaria.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Orden de 30 de mayo de 2023, por la que se desarrolla el currículo de la ESO en Andalucía y se regulan aspectos de atención a la diversidad, evaluación y tránsito entre etapas.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Orden de 20 de agosto de 2010, sobre organización y funcionamiento de los institutos de educación secundaria.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Instrucciones vigentes de la Viceconsejería competente sobre lectura y desarrollo de la competencia en comunicación lingüística y sobre razonamiento matemático.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La programación original de 2021/2022 incluía referencias normativas anteriores (entre ellas, la Ley Orgánica 2/2006 modificada por la LOMLOE, el Real Decreto 984/2021, decretos y órdenes de 2015–2021). Dichas referencias históricas no se trasladan como marco vigente sin revisión.</w:t>
      </w:r>
    </w:p>
    <w:p w:rsidR="00000000" w:rsidDel="00000000" w:rsidP="00000000" w:rsidRDefault="00000000" w:rsidRPr="00000000" w14:paraId="0000002D">
      <w:pPr>
        <w:pStyle w:val="Heading2"/>
        <w:rPr/>
      </w:pPr>
      <w:r w:rsidDel="00000000" w:rsidR="00000000" w:rsidRPr="00000000">
        <w:rPr>
          <w:rtl w:val="0"/>
        </w:rPr>
        <w:t xml:space="preserve">3. Organización del Departamento de coordinación didáctica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La materia se adscribe al Departamento de Biología y Geología, y Dª. Vanesa Bedmar como docente que imparte Iniciación a las Ciencias de la Salud en 2.º ESO. </w:t>
      </w:r>
    </w:p>
    <w:p w:rsidR="00000000" w:rsidDel="00000000" w:rsidP="00000000" w:rsidRDefault="00000000" w:rsidRPr="00000000" w14:paraId="0000002F">
      <w:pPr>
        <w:pStyle w:val="Heading2"/>
        <w:rPr/>
      </w:pPr>
      <w:r w:rsidDel="00000000" w:rsidR="00000000" w:rsidRPr="00000000">
        <w:rPr>
          <w:rtl w:val="0"/>
        </w:rPr>
        <w:t xml:space="preserve">4. Objetivos de la etapa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La materia contribuirá, en el marco de los objetivos generales de la ESO, al desarrollo de la responsabilidad, el trabajo individual y cooperativo, la igualdad y el respeto, el pensamiento crítico, la competencia comunicativa y digital, el conocimiento científico y los hábitos saludables.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En particular, se relaciona con el objetivo de conocer y aceptar el funcionamiento del propio cuerpo y el de las demás personas, consolidar hábitos de cuidado y salud, valorar críticamente los hábitos sociales relacionados con la salud y el consumo, y respetar a los seres vivos y al medioambiente.</w:t>
      </w:r>
    </w:p>
    <w:p w:rsidR="00000000" w:rsidDel="00000000" w:rsidP="00000000" w:rsidRDefault="00000000" w:rsidRPr="00000000" w14:paraId="00000032">
      <w:pPr>
        <w:pStyle w:val="Heading2"/>
        <w:rPr/>
      </w:pPr>
      <w:r w:rsidDel="00000000" w:rsidR="00000000" w:rsidRPr="00000000">
        <w:rPr>
          <w:rtl w:val="0"/>
        </w:rPr>
        <w:t xml:space="preserve">5. Principios pedagógicos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Promover la lectura, la comprensión de textos científicos y divulgativos, la expresión oral, la exposición y el debate.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Favorecer la adquisición progresiva de competencias mediante tareas significativas y vinculadas a situaciones reales.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Integrar las tecnologías de la información y la comunicación en la búsqueda, selección, interpretación y comunicación de información.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Relacionar la salud con el medioambiente, la sostenibilidad y los efectos de las actividades humanas.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Aplicar los principios del Diseño Universal para el Aprendizaje, ofreciendo distintas formas de acceso a la información, participación y expresión.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Desarrollar la inteligencia emocional, la empatía, el respeto a la diversidad y la resolución pacífica de conflictos.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Promover la igualdad de género, la cooperación, la autonomía y la responsabilidad en el trabajo.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Desarrollar la observación, la experimentación, la recogida de datos y la interpretación de resultados.</w:t>
      </w:r>
    </w:p>
    <w:p w:rsidR="00000000" w:rsidDel="00000000" w:rsidP="00000000" w:rsidRDefault="00000000" w:rsidRPr="00000000" w14:paraId="0000003B">
      <w:pPr>
        <w:pStyle w:val="Heading2"/>
        <w:rPr/>
      </w:pPr>
      <w:r w:rsidDel="00000000" w:rsidR="00000000" w:rsidRPr="00000000">
        <w:rPr>
          <w:rtl w:val="0"/>
        </w:rPr>
        <w:t xml:space="preserve">6. Evaluación</w:t>
      </w:r>
    </w:p>
    <w:p w:rsidR="00000000" w:rsidDel="00000000" w:rsidP="00000000" w:rsidRDefault="00000000" w:rsidRPr="00000000" w14:paraId="0000003C">
      <w:pPr>
        <w:pStyle w:val="Heading3"/>
        <w:rPr/>
      </w:pPr>
      <w:r w:rsidDel="00000000" w:rsidR="00000000" w:rsidRPr="00000000">
        <w:rPr>
          <w:rtl w:val="0"/>
        </w:rPr>
        <w:t xml:space="preserve">6.1. Evaluación y calificación del alumnado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La programación de referencia establece una evaluación continua, competencial, formativa, integradora, diferenciada y objetiva, tomando como referentes los criterios de evaluación aplicables a la materia. Se emplearán instrumentos variados y coherentes con las tareas y las características del alumnado.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La programación histórica de la materia propone evaluación inicial, formativa o procesual y sumativa o final. Entre los instrumentos señalados figuran la observación del trabajo y la participación, cuaderno y ejercicios, resúmenes y esquemas, trabajos de investigación, exposiciones orales, comentarios de textos e imágenes, debates, prácticas de laboratorio y pruebas orales o escritas.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No se ha establecido en la documentación histórica una ponderación numérica por criterios o instrumentos. Por tanto, no se inventan porcentajes en esta adaptación: el departamento deberá concretar y aprobar los criterios de calificación vigentes y su comunicación al alumnado.</w:t>
      </w:r>
    </w:p>
    <w:p w:rsidR="00000000" w:rsidDel="00000000" w:rsidP="00000000" w:rsidRDefault="00000000" w:rsidRPr="00000000" w14:paraId="00000040">
      <w:pPr>
        <w:pStyle w:val="Heading3"/>
        <w:rPr/>
      </w:pPr>
      <w:r w:rsidDel="00000000" w:rsidR="00000000" w:rsidRPr="00000000">
        <w:rPr>
          <w:rtl w:val="0"/>
        </w:rPr>
        <w:t xml:space="preserve">6.2. Evaluación de la práctica docente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El seguimiento de la práctica docente atenderá, al menos, a los resultados de aprendizaje, la adecuación de los métodos didácticos y pedagógicos, los materiales y recursos empleados y la eficacia de las medidas de atención a la diversidad. Las conclusiones servirán para introducir ajustes durante el curso.</w:t>
      </w:r>
    </w:p>
    <w:p w:rsidR="00000000" w:rsidDel="00000000" w:rsidP="00000000" w:rsidRDefault="00000000" w:rsidRPr="00000000" w14:paraId="00000042">
      <w:pPr>
        <w:pStyle w:val="Heading2"/>
        <w:rPr/>
      </w:pPr>
      <w:r w:rsidDel="00000000" w:rsidR="00000000" w:rsidRPr="00000000">
        <w:rPr>
          <w:rtl w:val="0"/>
        </w:rPr>
        <w:t xml:space="preserve">7. Seguimiento de la Programación Didáctica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El departamento realizará el seguimiento del grado de cumplimiento de la programación y propondrá medidas de mejora. Se revisarán la temporalización, el desarrollo de las unidades, la participación del alumnado, los resultados de evaluación y la adecuación de las actividades prácticas. Las modificaciones se recogerán en los mecanismos de coordinación y seguimiento establecidos por el centro.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Style w:val="Heading1"/>
        <w:rPr/>
      </w:pPr>
      <w:r w:rsidDel="00000000" w:rsidR="00000000" w:rsidRPr="00000000">
        <w:rPr>
          <w:rtl w:val="0"/>
        </w:rPr>
        <w:t xml:space="preserve">CONCRECIÓN ANUAL</w:t>
      </w:r>
    </w:p>
    <w:p w:rsidR="00000000" w:rsidDel="00000000" w:rsidP="00000000" w:rsidRDefault="00000000" w:rsidRPr="00000000" w14:paraId="00000046">
      <w:pPr>
        <w:jc w:val="center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2.º de E.S.O. · Iniciación a las Ciencias de la Salud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rPr/>
      </w:pPr>
      <w:r w:rsidDel="00000000" w:rsidR="00000000" w:rsidRPr="00000000">
        <w:rPr>
          <w:rtl w:val="0"/>
        </w:rPr>
        <w:t xml:space="preserve">1. Evaluación inicial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Al inicio del curso se realizará un sondeo oral o escrito para conocer los conocimientos previos del alumnado sobre salud, enfermedad, cuerpo humano, método científico y hábitos saludables. Podrán utilizarse preguntas breves, una ficha inicial, lluvia de ideas o análisis de una noticia relacionada con la salud. La información obtenida permitirá ajustar la profundidad, el ritmo y los apoyos de las actividades.</w:t>
      </w:r>
    </w:p>
    <w:p w:rsidR="00000000" w:rsidDel="00000000" w:rsidP="00000000" w:rsidRDefault="00000000" w:rsidRPr="00000000" w14:paraId="00000049">
      <w:pPr>
        <w:pStyle w:val="Heading2"/>
        <w:rPr/>
      </w:pPr>
      <w:r w:rsidDel="00000000" w:rsidR="00000000" w:rsidRPr="00000000">
        <w:rPr>
          <w:rtl w:val="0"/>
        </w:rPr>
        <w:t xml:space="preserve">2. Principios pedagógicos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La materia se desarrollará mediante una aproximación práctica, crítica e interdisciplinar a las ciencias de la salud. Se fomentará la lectura comprensiva, la comunicación oral y escrita, la alfabetización científica, el uso responsable de fuentes de información, la cooperación y el respeto a diferentes concepciones culturales de la salud.</w:t>
      </w:r>
    </w:p>
    <w:p w:rsidR="00000000" w:rsidDel="00000000" w:rsidP="00000000" w:rsidRDefault="00000000" w:rsidRPr="00000000" w14:paraId="0000004B">
      <w:pPr>
        <w:pStyle w:val="Heading2"/>
        <w:rPr/>
      </w:pPr>
      <w:r w:rsidDel="00000000" w:rsidR="00000000" w:rsidRPr="00000000">
        <w:rPr>
          <w:rtl w:val="0"/>
        </w:rPr>
        <w:t xml:space="preserve">3. Aspectos metodológicos para la construcción de situaciones de aprendizaje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Como norma general, cada unidad comenzará con una introducción del docente y la exploración de ideas previas. Según el tema, se utilizarán presentaciones, vídeos, noticias médico-sanitarias, debates y actividades de investigación. Se organizarán equipos de trabajo y trabajos monográficos individuales o grupales, con exposición de resultados y argumentación basada en información contrastada.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Las prácticas de laboratorio complementarán la formación teórica. Se trabajará con guiones sencillos, observación, formulación de hipótesis, registro de datos, interpretación de resultados y elaboración de conclusiones. Se insistirá en las normas de seguridad, el cuidado del material y el respeto a las indicaciones del profesorado.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Cuando resulte viable y se acuerde con el centro, podrán organizarse charlas o encuentros con profesionales sanitarios. Las películas y materiales audiovisuales recogidos en la programación original se utilizarán como recurso didáctico, acompañados de actividades de análisis y debate, siempre que se consideren adecuados para el grupo.</w:t>
      </w:r>
    </w:p>
    <w:p w:rsidR="00000000" w:rsidDel="00000000" w:rsidP="00000000" w:rsidRDefault="00000000" w:rsidRPr="00000000" w14:paraId="0000004F">
      <w:pPr>
        <w:pStyle w:val="Heading2"/>
        <w:rPr/>
      </w:pPr>
      <w:r w:rsidDel="00000000" w:rsidR="00000000" w:rsidRPr="00000000">
        <w:rPr>
          <w:rtl w:val="0"/>
        </w:rPr>
        <w:t xml:space="preserve">4. Materiales y recursos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Cuaderno de clase, fichas de actividades, esquemas y resúmenes.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Textos científicos y divulgativos, noticias de medios de comunicación y fuentes digitales seleccionadas.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Presentaciones, imágenes, vídeos y materiales audiovisuales relacionados con las unidades.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Material básico de laboratorio y microscopios, según disponibilidad y normas del centro.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Materiales para modelos celulares y actividades experimentales sencillas.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Instrumentos de evaluación: cuestionarios, rúbricas, listas de cotejo, escalas de observación y pruebas orales o escritas.</w:t>
      </w:r>
    </w:p>
    <w:p w:rsidR="00000000" w:rsidDel="00000000" w:rsidP="00000000" w:rsidRDefault="00000000" w:rsidRPr="00000000" w14:paraId="00000056">
      <w:pPr>
        <w:pStyle w:val="Heading2"/>
        <w:rPr/>
      </w:pPr>
      <w:r w:rsidDel="00000000" w:rsidR="00000000" w:rsidRPr="00000000">
        <w:rPr>
          <w:rtl w:val="0"/>
        </w:rPr>
        <w:t xml:space="preserve">5. Evaluación: criterios de calificación y herramientas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La evaluación tendrá en cuenta tanto los aprendizajes como la evolución del proceso de trabajo. La programación de 2021/2022 indica expresamente que se pretende evitar una evaluación basada exclusivamente en la memorización y valorar la comprensión, el pensamiento crítico, el esfuerzo, la responsabilidad y la aplicación de conocimientos al cuidado de la salud.</w:t>
      </w:r>
    </w:p>
    <w:tbl>
      <w:tblPr>
        <w:tblStyle w:val="Table1"/>
        <w:tblW w:w="97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64"/>
        <w:gridCol w:w="3264"/>
        <w:gridCol w:w="3264"/>
        <w:tblGridChange w:id="0">
          <w:tblGrid>
            <w:gridCol w:w="3264"/>
            <w:gridCol w:w="3264"/>
            <w:gridCol w:w="3264"/>
          </w:tblGrid>
        </w:tblGridChange>
      </w:tblGrid>
      <w:tr>
        <w:trPr>
          <w:cantSplit w:val="1"/>
          <w:tblHeader w:val="0"/>
        </w:trPr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Momento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Finalidad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Instrumentos posibles, según la programación aportada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Evaluación inicial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Detectar conocimientos previos y posibles ideas erróneas.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Preguntas orales o escritas, ficha inicial, lluvia de ideas.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 o procesual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Acompañar el aprendizaje y ajustar la enseñanza.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Observación, cuaderno, ejercicios, cuestionarios, entrevistas, trabajos, prácticas, debates y exposiciones.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Evaluación sumativa o final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Comprobar los aprendizajes al finalizar unidades, bloques o periodos.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Pruebas orales y escritas, tareas, presentaciones y revisión de producciones.</w:t>
            </w:r>
          </w:p>
        </w:tc>
      </w:tr>
    </w:tbl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La programación histórica contemplaba revisar el cuaderno y los ejercicios, valorar responsabilidad, respeto, colaboración, autonomía, interés y participación, elaborar esquemas y resúmenes, realizar exposiciones, comentarios de textos, imágenes y vídeos, debates y actividades de recuperación. También recogía una penalización ortográfica de 0,2 puntos por falta, hasta un máximo del 10 % de la nota. Esta regla se conserva únicamente como antecedente del documento original y deberá confirmarse expresamente antes de aplicarse en el curso actual.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La recuperación se organizará mediante actividades de refuerzo y seguimiento continuado. La programación antigua mencionaba una prueba extraordinaria en septiembre, pero también indicaba que había desaparecido; por ello, esta adaptación no mantiene un procedimiento extraordinario concreto y remite a la normativa y a los acuerdos vigentes del centro.</w:t>
      </w:r>
    </w:p>
    <w:p w:rsidR="00000000" w:rsidDel="00000000" w:rsidP="00000000" w:rsidRDefault="00000000" w:rsidRPr="00000000" w14:paraId="00000067">
      <w:pPr>
        <w:pStyle w:val="Heading2"/>
        <w:rPr/>
      </w:pPr>
      <w:r w:rsidDel="00000000" w:rsidR="00000000" w:rsidRPr="00000000">
        <w:rPr>
          <w:rtl w:val="0"/>
        </w:rPr>
        <w:t xml:space="preserve">6. Temporalización y unidades de programación</w:t>
      </w:r>
    </w:p>
    <w:tbl>
      <w:tblPr>
        <w:tblStyle w:val="Table2"/>
        <w:tblW w:w="97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64"/>
        <w:gridCol w:w="3264"/>
        <w:gridCol w:w="3264"/>
        <w:tblGridChange w:id="0">
          <w:tblGrid>
            <w:gridCol w:w="3264"/>
            <w:gridCol w:w="3264"/>
            <w:gridCol w:w="3264"/>
          </w:tblGrid>
        </w:tblGridChange>
      </w:tblGrid>
      <w:tr>
        <w:trPr>
          <w:cantSplit w:val="1"/>
          <w:tblHeader w:val="0"/>
        </w:trPr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Evaluación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Unidades previstas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Ejes de contenido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1.ª evaluación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Unidades 1, 2 y 3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Método científico; célula y organización del cuerpo humano; salud y enfermedad.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2.ª evaluación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Unidades 4 y 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Historia de la medicina; estudio y clasificación de las enfermedades.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3.ª evaluación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Unidades 6, 7 y 8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Enfermedades actuales; salud y medioambiente; sistemas sanitarios.</w:t>
            </w:r>
          </w:p>
        </w:tc>
      </w:tr>
    </w:tbl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La temporalización es orientativa y procede de la programación histórica. Podrá ajustarse a la carga horaria real, al calendario escolar, al ritmo de aprendizaje y a las necesidades del grupo.</w:t>
      </w:r>
    </w:p>
    <w:p w:rsidR="00000000" w:rsidDel="00000000" w:rsidP="00000000" w:rsidRDefault="00000000" w:rsidRPr="00000000" w14:paraId="00000076">
      <w:pPr>
        <w:pStyle w:val="Heading3"/>
        <w:rPr/>
      </w:pPr>
      <w:r w:rsidDel="00000000" w:rsidR="00000000" w:rsidRPr="00000000">
        <w:rPr>
          <w:rtl w:val="0"/>
        </w:rPr>
        <w:t xml:space="preserve">6.1. Unidades de programación</w:t>
      </w:r>
    </w:p>
    <w:p w:rsidR="00000000" w:rsidDel="00000000" w:rsidP="00000000" w:rsidRDefault="00000000" w:rsidRPr="00000000" w14:paraId="00000077">
      <w:pPr>
        <w:pStyle w:val="Heading3"/>
        <w:rPr/>
      </w:pPr>
      <w:r w:rsidDel="00000000" w:rsidR="00000000" w:rsidRPr="00000000">
        <w:rPr>
          <w:rtl w:val="0"/>
        </w:rPr>
        <w:t xml:space="preserve">Unidad 1. El método científico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Observación, hipótesis, experimentación, resultados, interpretación, conclusiones e informe científico. Supuesto práctico: crecimiento de semillas de alubias en condiciones diferentes.</w:t>
      </w:r>
    </w:p>
    <w:p w:rsidR="00000000" w:rsidDel="00000000" w:rsidP="00000000" w:rsidRDefault="00000000" w:rsidRPr="00000000" w14:paraId="00000079">
      <w:pPr>
        <w:pStyle w:val="Heading3"/>
        <w:rPr/>
      </w:pPr>
      <w:r w:rsidDel="00000000" w:rsidR="00000000" w:rsidRPr="00000000">
        <w:rPr>
          <w:rtl w:val="0"/>
        </w:rPr>
        <w:t xml:space="preserve">Unidad 2. La célula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Introducción a la citología; célula como unidad básica; orgánulos; células procariotas y eucariotas; célula animal y vegetal; organización pluricelular y nociones básicas de anatomía humana. Prácticas previstas: tinción de células de mucosa bucal, observación de bacterias del yogur y observación de células vegetales, condicionadas a disponibilidad y seguridad.</w:t>
      </w:r>
    </w:p>
    <w:p w:rsidR="00000000" w:rsidDel="00000000" w:rsidP="00000000" w:rsidRDefault="00000000" w:rsidRPr="00000000" w14:paraId="0000007B">
      <w:pPr>
        <w:pStyle w:val="Heading3"/>
        <w:rPr/>
      </w:pPr>
      <w:r w:rsidDel="00000000" w:rsidR="00000000" w:rsidRPr="00000000">
        <w:rPr>
          <w:rtl w:val="0"/>
        </w:rPr>
        <w:t xml:space="preserve">Unidad 3. Salud y enfermedad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Concepto de salud y enfermedad según la OMS; determinantes biológicos, ambientales, relacionados con el estilo de vida y con el sistema sanitario; derecho a la salud y tipos de enfermedades.</w:t>
      </w:r>
    </w:p>
    <w:p w:rsidR="00000000" w:rsidDel="00000000" w:rsidP="00000000" w:rsidRDefault="00000000" w:rsidRPr="00000000" w14:paraId="0000007D">
      <w:pPr>
        <w:pStyle w:val="Heading3"/>
        <w:rPr/>
      </w:pPr>
      <w:r w:rsidDel="00000000" w:rsidR="00000000" w:rsidRPr="00000000">
        <w:rPr>
          <w:rtl w:val="0"/>
        </w:rPr>
        <w:t xml:space="preserve">Unidad 4. Historia de la medicina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Evolución histórica de las ciencias de la salud; medicina en la Antigüedad, Egipto, Grecia, Roma y culturas orientales; Edad Media, Renacimiento, siglos XVII y XVIII, siglo XIX y avances de los siglos XX y XXI. La programación original proponía el visionado de “El médico” y “Estallido”, seguido de debate.</w:t>
      </w:r>
    </w:p>
    <w:p w:rsidR="00000000" w:rsidDel="00000000" w:rsidP="00000000" w:rsidRDefault="00000000" w:rsidRPr="00000000" w14:paraId="0000007F">
      <w:pPr>
        <w:pStyle w:val="Heading3"/>
        <w:rPr/>
      </w:pPr>
      <w:r w:rsidDel="00000000" w:rsidR="00000000" w:rsidRPr="00000000">
        <w:rPr>
          <w:rtl w:val="0"/>
        </w:rPr>
        <w:t xml:space="preserve">Unidad 5. Estudio y clasificación de las enfermedades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Enfermedades infecciosas y no infecciosas; introducción a la inmunología; vacunas, sueros, autoinmunidad e hipersensibilidad; agentes patógenos; epidemias y pandemias. La programación original incluía una práctica sobre grupos sanguíneos, que solo se realizará si existe protocolo, material y condiciones de seguridad adecuados.</w:t>
      </w:r>
    </w:p>
    <w:p w:rsidR="00000000" w:rsidDel="00000000" w:rsidP="00000000" w:rsidRDefault="00000000" w:rsidRPr="00000000" w14:paraId="00000081">
      <w:pPr>
        <w:pStyle w:val="Heading3"/>
        <w:rPr/>
      </w:pPr>
      <w:r w:rsidDel="00000000" w:rsidR="00000000" w:rsidRPr="00000000">
        <w:rPr>
          <w:rtl w:val="0"/>
        </w:rPr>
        <w:t xml:space="preserve">Unidad 6. Principales enfermedades de nuestro tiempo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Cáncer, prevención y diagnóstico precoz; enfermedades cardiovasculares y respiratorias; anomalías congénitas y enfermedades genéticas; trastornos mentales. El documento original proponía “El aceite de la vida” y “Una mente maravillosa” como recursos para análisis y debate.</w:t>
      </w:r>
    </w:p>
    <w:p w:rsidR="00000000" w:rsidDel="00000000" w:rsidP="00000000" w:rsidRDefault="00000000" w:rsidRPr="00000000" w14:paraId="00000083">
      <w:pPr>
        <w:pStyle w:val="Heading3"/>
        <w:rPr/>
      </w:pPr>
      <w:r w:rsidDel="00000000" w:rsidR="00000000" w:rsidRPr="00000000">
        <w:rPr>
          <w:rtl w:val="0"/>
        </w:rPr>
        <w:t xml:space="preserve">Unidad 7. Salud y medioambiente natural y social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Hábitos saludables; agentes ambientales nocivos; adicciones, alcohol, drogas y ludopatía; salud, pobreza y población; sostenibilidad; alimentación y actividad física.</w:t>
      </w:r>
    </w:p>
    <w:p w:rsidR="00000000" w:rsidDel="00000000" w:rsidP="00000000" w:rsidRDefault="00000000" w:rsidRPr="00000000" w14:paraId="00000085">
      <w:pPr>
        <w:pStyle w:val="Heading3"/>
        <w:rPr/>
      </w:pPr>
      <w:r w:rsidDel="00000000" w:rsidR="00000000" w:rsidRPr="00000000">
        <w:rPr>
          <w:rtl w:val="0"/>
        </w:rPr>
        <w:t xml:space="preserve">Unidad 8. Los sistemas sanitarios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Sistema sanitario español y comparación con otros países; papel de las ONG en salud. La programación original proponía “La ciudad de la alegría” como recurso audiovisual para el debate.</w:t>
      </w:r>
    </w:p>
    <w:p w:rsidR="00000000" w:rsidDel="00000000" w:rsidP="00000000" w:rsidRDefault="00000000" w:rsidRPr="00000000" w14:paraId="00000087">
      <w:pPr>
        <w:pStyle w:val="Heading3"/>
        <w:rPr/>
      </w:pPr>
      <w:r w:rsidDel="00000000" w:rsidR="00000000" w:rsidRPr="00000000">
        <w:rPr>
          <w:rtl w:val="0"/>
        </w:rPr>
        <w:t xml:space="preserve">6.2. Situaciones de aprendizaje propuestas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Las siguientes propuestas organizan los contenidos históricos en tareas contextualizadas. Se presentan como orientaciones didácticas; no sustituyen la concreción formal que deba aprobar el departamento.</w:t>
      </w:r>
    </w:p>
    <w:tbl>
      <w:tblPr>
        <w:tblStyle w:val="Table3"/>
        <w:tblW w:w="97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64"/>
        <w:gridCol w:w="3264"/>
        <w:gridCol w:w="3264"/>
        <w:tblGridChange w:id="0">
          <w:tblGrid>
            <w:gridCol w:w="3264"/>
            <w:gridCol w:w="3264"/>
            <w:gridCol w:w="3264"/>
          </w:tblGrid>
        </w:tblGridChange>
      </w:tblGrid>
      <w:tr>
        <w:trPr>
          <w:cantSplit w:val="1"/>
          <w:tblHeader w:val="0"/>
        </w:trPr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Situación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Producto o desempeño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Contenidos relacionados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¿Cómo investiga la ciencia?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Informe breve de una experiencia con semillas, con hipótesis, variables, resultados y conclusión.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Unidad 1: método científico.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Lo que vemos al microscopio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Cuaderno de laboratorio con dibujos y observaciones celulares.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Unidad 2: célula y organización.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¿Qué entendemos por salud?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Infografía o exposición argumentada sobre determinantes de la salud.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Unidad 3: salud y enfermedad.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La medicina a través del tiempo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Línea del tiempo y debate basado en fuentes seleccionadas.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Unidad 4: historia de la medicina.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Infecciones, prevención e inmunidad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Material informativo sobre transmisión y prevención, basado en fuentes fiables.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Unidad 5: enfermedades e inmunología.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Hábitos y salud en nuestro entorno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Propuesta de hábitos saludables y análisis de factores ambientales.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Unidades 6 y 7.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  <w:t xml:space="preserve">Salud para todas las personas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Comparación guiada de sistemas sanitarios y papel de las ONG.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Unidad 8: sistemas sanitarios.</w:t>
            </w:r>
          </w:p>
        </w:tc>
      </w:tr>
    </w:tbl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pStyle w:val="Heading2"/>
        <w:rPr/>
      </w:pPr>
      <w:r w:rsidDel="00000000" w:rsidR="00000000" w:rsidRPr="00000000">
        <w:rPr>
          <w:rtl w:val="0"/>
        </w:rPr>
        <w:t xml:space="preserve">7. Actividades complementarias y extraescolares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La programación original contempla la posibilidad de invitar a profesionales de la salud para charlas, conferencias y debates, coordinadas con el Departamento de Orientación. También prevé recursos audiovisuales vinculados a distintas unidades. La realización de estas actividades quedará supeditada a la planificación anual del centro, la disponibilidad de colaboradores, la autorización correspondiente y la adecuación al alumnado.</w:t>
      </w:r>
    </w:p>
    <w:p w:rsidR="00000000" w:rsidDel="00000000" w:rsidP="00000000" w:rsidRDefault="00000000" w:rsidRPr="00000000" w14:paraId="000000A4">
      <w:pPr>
        <w:pStyle w:val="Heading2"/>
        <w:rPr/>
      </w:pPr>
      <w:r w:rsidDel="00000000" w:rsidR="00000000" w:rsidRPr="00000000">
        <w:rPr>
          <w:rtl w:val="0"/>
        </w:rPr>
        <w:t xml:space="preserve">8. Atención a la diversidad y a las diferencias individuales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La respuesta educativa se ajustará a las necesidades individuales y a la normativa vigente. Se coordinará con la tutoría y el Departamento de Orientación cuando sea necesario. Se podrán adaptar la presentación de la información, la organización de tareas, los tiempos, los apoyos, los recursos y los instrumentos de evaluación, manteniendo los referentes curriculares que correspondan.</w:t>
      </w:r>
    </w:p>
    <w:p w:rsidR="00000000" w:rsidDel="00000000" w:rsidP="00000000" w:rsidRDefault="00000000" w:rsidRPr="00000000" w14:paraId="000000A6">
      <w:pPr>
        <w:pStyle w:val="Heading3"/>
        <w:rPr/>
      </w:pPr>
      <w:r w:rsidDel="00000000" w:rsidR="00000000" w:rsidRPr="00000000">
        <w:rPr>
          <w:rtl w:val="0"/>
        </w:rPr>
        <w:t xml:space="preserve">8.1. Medidas generales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Explicaciones claras y secuenciadas, apoyadas con esquemas, imágenes, ejemplos y vocabulario clave.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Actividades graduadas en dificultad y propuestas de ampliación para el alumnado que avance con mayor autonomía.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Trabajo cooperativo con funciones definidas, tutoría entre iguales y seguimiento docente.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Distintas formas de demostrar el aprendizaje: producción escrita, explicación oral, modelos, informes o presentaciones.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Comprobación frecuente de la comprensión y retroalimentación formativa.</w:t>
      </w:r>
    </w:p>
    <w:p w:rsidR="00000000" w:rsidDel="00000000" w:rsidP="00000000" w:rsidRDefault="00000000" w:rsidRPr="00000000" w14:paraId="000000AC">
      <w:pPr>
        <w:pStyle w:val="Heading3"/>
        <w:rPr/>
      </w:pPr>
      <w:r w:rsidDel="00000000" w:rsidR="00000000" w:rsidRPr="00000000">
        <w:rPr>
          <w:rtl w:val="0"/>
        </w:rPr>
        <w:t xml:space="preserve">8.2. Medidas específicas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Cuando las medidas generales no sean suficientes, se aplicarán las medidas específicas que correspondan según la evaluación psicopedagógica, los informes disponibles y la normativa vigente, en coordinación con el equipo docente y el Departamento de Orientación. Las adaptaciones se documentarán y revisarán conforme a los procedimientos del centro.</w:t>
      </w:r>
    </w:p>
    <w:p w:rsidR="00000000" w:rsidDel="00000000" w:rsidP="00000000" w:rsidRDefault="00000000" w:rsidRPr="00000000" w14:paraId="000000AE">
      <w:pPr>
        <w:pStyle w:val="Heading3"/>
        <w:rPr/>
      </w:pPr>
      <w:r w:rsidDel="00000000" w:rsidR="00000000" w:rsidRPr="00000000">
        <w:rPr>
          <w:rtl w:val="0"/>
        </w:rPr>
        <w:t xml:space="preserve">8.3. Observaciones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Las medidas concretas para cada alumno o alumna se determinarán a partir de sus necesidades reales. No se presuponen diagnósticos ni adaptaciones individuales en esta programación general.</w:t>
      </w:r>
    </w:p>
    <w:p w:rsidR="00000000" w:rsidDel="00000000" w:rsidP="00000000" w:rsidRDefault="00000000" w:rsidRPr="00000000" w14:paraId="000000B0">
      <w:pPr>
        <w:pStyle w:val="Heading2"/>
        <w:rPr/>
      </w:pPr>
      <w:r w:rsidDel="00000000" w:rsidR="00000000" w:rsidRPr="00000000">
        <w:rPr>
          <w:rtl w:val="0"/>
        </w:rPr>
        <w:t xml:space="preserve">9. Competencias clave y contribución de la materia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La programación histórica vincula la materia con las competencias clave mediante las siguientes aportaciones. La terminología se conserva como aparece en el documento original; su correspondencia con la nomenclatura competencial vigente deberá concretarse por el departamento.</w:t>
      </w:r>
    </w:p>
    <w:tbl>
      <w:tblPr>
        <w:tblStyle w:val="Table4"/>
        <w:tblW w:w="97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96"/>
        <w:gridCol w:w="4896"/>
        <w:tblGridChange w:id="0">
          <w:tblGrid>
            <w:gridCol w:w="4896"/>
            <w:gridCol w:w="4896"/>
          </w:tblGrid>
        </w:tblGridChange>
      </w:tblGrid>
      <w:tr>
        <w:trPr>
          <w:cantSplit w:val="1"/>
          <w:tblHeader w:val="0"/>
        </w:trPr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Competencia mencionada en la programación original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Contribución de la materia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  <w:t xml:space="preserve">Comunicación lingüística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  <w:t xml:space="preserve">Comprensión lectora de textos científicos y divulgativos, comentarios de texto, expresión oral, exposiciones y debates.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  <w:t xml:space="preserve">Competencia matemática y competencias básicas en ciencia y tecnología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  <w:t xml:space="preserve">Interpretación de fenómenos biológicos, aplicación del método científico y relación entre conceptos científicos y situaciones reales.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  <w:t xml:space="preserve">Competencia digital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  <w:t xml:space="preserve">Búsqueda planificada de información, interpretación de datos y comunicación mediante herramientas digitales.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  <w:t xml:space="preserve">Aprender a aprender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  <w:t xml:space="preserve">Reflexión sobre el propio aprendizaje, los procesos cognitivos y la consolidación de la identidad personal.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  <w:t xml:space="preserve">Competencias sociales y cívicas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  <w:t xml:space="preserve">Comprensión de la utilidad social del conocimiento científico y análisis de problemas relacionados con salud y sociedad.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  <w:t xml:space="preserve">Sentido de iniciativa y espíritu emprendedor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  <w:t xml:space="preserve">Pensamiento crítico, toma de decisiones, autonomía y puesta en práctica de propuestas.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  <w:t xml:space="preserve">Conciencia y expresiones culturales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Valoración de la herencia científica como parte de la cultura y reconocimiento de distintas concepciones culturales de la salud.</w:t>
            </w:r>
          </w:p>
        </w:tc>
      </w:tr>
    </w:tbl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Style w:val="Heading2"/>
        <w:rPr/>
      </w:pPr>
      <w:r w:rsidDel="00000000" w:rsidR="00000000" w:rsidRPr="00000000">
        <w:rPr>
          <w:rtl w:val="0"/>
        </w:rPr>
        <w:t xml:space="preserve">10. Contenidos / saberes de referencia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Los contenidos se organizan a partir de los tres bloques de la programación aportada: método científico; organización general del cuerpo humano; y salud y enfermedad. Se mantiene la secuencia de ocho unidades y sus contenidos principales, sin atribuirles códigos oficiales de saberes básicos que no aparecen en el documento histórico.</w:t>
      </w:r>
    </w:p>
    <w:p w:rsidR="00000000" w:rsidDel="00000000" w:rsidP="00000000" w:rsidRDefault="00000000" w:rsidRPr="00000000" w14:paraId="000000C5">
      <w:pPr>
        <w:pStyle w:val="Heading2"/>
        <w:rPr/>
      </w:pPr>
      <w:r w:rsidDel="00000000" w:rsidR="00000000" w:rsidRPr="00000000">
        <w:rPr>
          <w:rtl w:val="0"/>
        </w:rPr>
        <w:t xml:space="preserve">11. Relación orientativa entre contenidos y evaluación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La programación original incluía una tabla de criterios de evaluación y estándares de aprendizaje evaluables, basada en el marco curricular anterior. Para evitar trasladar como vigentes estándares de una normativa anterior, se presenta a continuación una relación orientativa entre los contenidos de la materia y las evidencias que pueden observarse. Los criterios oficiales aplicables a la materia en 2026/2027 deberán ser incorporados y validados por el departamento.</w:t>
      </w:r>
    </w:p>
    <w:tbl>
      <w:tblPr>
        <w:tblStyle w:val="Table5"/>
        <w:tblW w:w="97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64"/>
        <w:gridCol w:w="3264"/>
        <w:gridCol w:w="3264"/>
        <w:tblGridChange w:id="0">
          <w:tblGrid>
            <w:gridCol w:w="3264"/>
            <w:gridCol w:w="3264"/>
            <w:gridCol w:w="3264"/>
          </w:tblGrid>
        </w:tblGridChange>
      </w:tblGrid>
      <w:tr>
        <w:trPr>
          <w:cantSplit w:val="1"/>
          <w:tblHeader w:val="0"/>
        </w:trPr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Bloque / contenidos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Evidencias de aprendizaje orientativas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7365d" w:val="clear"/>
            <w:vAlign w:val="center"/>
          </w:tcPr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Instrumentos posibles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  <w:t xml:space="preserve">Método científico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  <w:t xml:space="preserve">Utiliza vocabulario científico; plantea hipótesis; registra observaciones; interpreta resultados y formula conclusiones.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  <w:t xml:space="preserve">Informe de práctica, cuaderno, exposición y lista de cotejo.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  <w:t xml:space="preserve">Célula y organización humana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  <w:t xml:space="preserve">Identifica tipos celulares y estructuras básicas; representa observaciones y relaciona niveles de organización.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  <w:t xml:space="preserve">Dibujos científicos, modelo celular, ficha práctica y preguntas orales o escritas.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  <w:t xml:space="preserve">Salud, enfermedad y prevención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  <w:t xml:space="preserve">Explica factores que influyen en la salud; distingue tipos de enfermedades y argumenta sobre hábitos preventivos.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Cuestionarios, análisis de casos, debates y trabajos.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  <w:t xml:space="preserve">Historia de la medicina y sistemas sanitarios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  <w:t xml:space="preserve">Ordena hitos históricos, contrasta fuentes y argumenta sobre avances y desigualdades en salud.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  <w:t xml:space="preserve">Línea del tiempo, comentario de fuentes, presentación y debate.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  <w:t xml:space="preserve">Salud y medioambiente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  <w:t xml:space="preserve">Relaciona hábitos y condiciones ambientales con la salud y propone medidas razonadas.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  <w:t xml:space="preserve">Infografía, propuesta de hábitos saludables y exposición.</w:t>
            </w:r>
          </w:p>
        </w:tc>
      </w:tr>
    </w:tbl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Style w:val="Heading2"/>
        <w:rPr/>
      </w:pPr>
      <w:r w:rsidDel="00000000" w:rsidR="00000000" w:rsidRPr="00000000">
        <w:rPr>
          <w:rtl w:val="0"/>
        </w:rPr>
        <w:t xml:space="preserve">Aspectos pendientes de validación antes de aprobar la programación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Confirmar curso académico definitivo, profesorado responsable, grupos y carga horaria.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Verificar la normativa vigente y el encaje curricular de la materia optativa en la oferta del centro.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Incorporar, si procede, las competencias específicas, criterios de evaluación y saberes básicos oficiales que correspondan a la materia.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Concretar y aprobar los criterios de calificación, ponderaciones y procedimientos de recuperación.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Confirmar la viabilidad y las condiciones de seguridad de las prácticas de laboratorio y de las actividades complementarias.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Actualizar las referencias audiovisuales, los recursos y la temporalización según el grupo real.</w:t>
      </w:r>
    </w:p>
    <w:sectPr>
      <w:headerReference r:id="rId7" w:type="default"/>
      <w:footerReference r:id="rId8" w:type="default"/>
      <w:pgSz w:h="15840" w:w="12240" w:orient="portrait"/>
      <w:pgMar w:bottom="1008" w:top="1008" w:left="1224" w:right="122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Programación didáctica · Iniciación a las Ciencias de la Salud · 2.º ESO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646464"/>
        <w:sz w:val="16"/>
        <w:szCs w:val="16"/>
        <w:u w:val="none"/>
        <w:shd w:fill="auto" w:val="clear"/>
        <w:vertAlign w:val="baseline"/>
        <w:rtl w:val="0"/>
      </w:rPr>
      <w:t xml:space="preserve">I.E.S. SANTÍSIMA TRINIDAD · BAEZA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1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Arial" w:cs="Arial" w:eastAsia="Arial" w:hAnsi="Arial"/>
      <w:b w:val="1"/>
      <w:bCs w:val="1"/>
      <w:color w:val="17365d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2f5597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2f5597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Arial" w:cs="Arial" w:eastAsia="Arial" w:hAnsi="Arial"/>
      <w:b w:val="1"/>
      <w:bCs w:val="1"/>
      <w:color w:val="17365d"/>
      <w:sz w:val="48"/>
      <w:szCs w:val="48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8QrwHRHQqgyD0K9aKVbbZ0OeVA==">CgMxLjA4AHIhMXdkUUpKZ1FJS1NMOUdyaFhXdWFYeTlMQlc3RDQ5MU5U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